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85" w:rsidRDefault="0059003B" w:rsidP="00E52985">
      <w:pPr>
        <w:jc w:val="center"/>
        <w:rPr>
          <w:rFonts w:ascii="標楷體" w:eastAsia="標楷體" w:hAnsi="標楷體"/>
          <w:sz w:val="28"/>
        </w:rPr>
      </w:pPr>
      <w:r>
        <w:rPr>
          <w:rFonts w:hint="eastAsia"/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5BE97" wp14:editId="431D8138">
                <wp:simplePos x="0" y="0"/>
                <wp:positionH relativeFrom="column">
                  <wp:posOffset>-547311</wp:posOffset>
                </wp:positionH>
                <wp:positionV relativeFrom="paragraph">
                  <wp:posOffset>48260</wp:posOffset>
                </wp:positionV>
                <wp:extent cx="627321" cy="308344"/>
                <wp:effectExtent l="0" t="0" r="20955" b="158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03B" w:rsidRPr="00D16137" w:rsidRDefault="0059003B" w:rsidP="005900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3.1pt;margin-top:3.8pt;width:49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" fillcolor="white [3201]" strokeweight=".5pt">
                <v:textbox>
                  <w:txbxContent>
                    <w:p w:rsidR="0059003B" w:rsidRPr="00D16137" w:rsidRDefault="0059003B" w:rsidP="0059003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52985" w:rsidRPr="00E52985">
        <w:rPr>
          <w:rFonts w:ascii="標楷體" w:eastAsia="標楷體" w:hAnsi="標楷體" w:hint="eastAsia"/>
          <w:sz w:val="28"/>
        </w:rPr>
        <w:t>未來學校財團法人</w:t>
      </w:r>
      <w:proofErr w:type="gramStart"/>
      <w:r w:rsidR="00E52985" w:rsidRPr="00E52985">
        <w:rPr>
          <w:rFonts w:ascii="標楷體" w:eastAsia="標楷體" w:hAnsi="標楷體" w:hint="eastAsia"/>
          <w:sz w:val="28"/>
        </w:rPr>
        <w:t>臺東縣育仁</w:t>
      </w:r>
      <w:proofErr w:type="gramEnd"/>
      <w:r w:rsidR="00E52985" w:rsidRPr="00E52985">
        <w:rPr>
          <w:rFonts w:ascii="標楷體" w:eastAsia="標楷體" w:hAnsi="標楷體" w:hint="eastAsia"/>
          <w:sz w:val="28"/>
        </w:rPr>
        <w:t>高級中等學校</w:t>
      </w:r>
    </w:p>
    <w:p w:rsidR="00E52985" w:rsidRPr="00E52985" w:rsidRDefault="00E52985" w:rsidP="00E52985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</w:t>
      </w:r>
      <w:r w:rsidRPr="00E52985">
        <w:rPr>
          <w:rFonts w:ascii="標楷體" w:eastAsia="標楷體" w:hAnsi="標楷體"/>
          <w:sz w:val="28"/>
        </w:rPr>
        <w:t>校公物毀損遺失賠償要點</w:t>
      </w:r>
    </w:p>
    <w:p w:rsidR="00E52985" w:rsidRDefault="0049709A" w:rsidP="0049709A">
      <w:pPr>
        <w:ind w:right="42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</w:t>
      </w:r>
      <w:r w:rsidR="00E52985" w:rsidRPr="00E52985">
        <w:rPr>
          <w:rFonts w:ascii="標楷體" w:eastAsia="標楷體" w:hAnsi="標楷體" w:hint="eastAsia"/>
        </w:rPr>
        <w:t>114</w:t>
      </w:r>
      <w:r w:rsidR="00BB4C2F">
        <w:rPr>
          <w:rFonts w:ascii="標楷體" w:eastAsia="標楷體" w:hAnsi="標楷體" w:hint="eastAsia"/>
        </w:rPr>
        <w:t>年</w:t>
      </w:r>
      <w:r w:rsidR="00E52985" w:rsidRPr="00E52985">
        <w:rPr>
          <w:rFonts w:ascii="標楷體" w:eastAsia="標楷體" w:hAnsi="標楷體" w:hint="eastAsia"/>
        </w:rPr>
        <w:t>6</w:t>
      </w:r>
      <w:r w:rsidR="00BB4C2F">
        <w:rPr>
          <w:rFonts w:ascii="標楷體" w:eastAsia="標楷體" w:hAnsi="標楷體" w:hint="eastAsia"/>
        </w:rPr>
        <w:t>月30日</w:t>
      </w:r>
      <w:r w:rsidR="00E52985" w:rsidRPr="00E52985">
        <w:rPr>
          <w:rFonts w:ascii="標楷體" w:eastAsia="標楷體" w:hAnsi="標楷體" w:hint="eastAsia"/>
        </w:rPr>
        <w:t xml:space="preserve"> </w:t>
      </w:r>
      <w:r w:rsidR="00BB4C2F" w:rsidRPr="00E52985">
        <w:rPr>
          <w:rFonts w:ascii="標楷體" w:eastAsia="標楷體" w:hAnsi="標楷體" w:hint="eastAsia"/>
        </w:rPr>
        <w:t>校長</w:t>
      </w:r>
      <w:r w:rsidR="00E52985" w:rsidRPr="00E52985">
        <w:rPr>
          <w:rFonts w:ascii="標楷體" w:eastAsia="標楷體" w:hAnsi="標楷體" w:hint="eastAsia"/>
        </w:rPr>
        <w:t>修訂</w:t>
      </w:r>
    </w:p>
    <w:p w:rsidR="0049709A" w:rsidRPr="00E52985" w:rsidRDefault="0049709A" w:rsidP="00E52985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114年6月30日期末校務會議公告</w:t>
      </w:r>
      <w:bookmarkStart w:id="0" w:name="_GoBack"/>
      <w:bookmarkEnd w:id="0"/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一、主旨：為培養學生公德心、愛護公物習慣及杜絕無謂損耗，避免浪費，特訂定本要點。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二、管理範圍：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（一）班級教室: 教室內公物，如黑板、講桌、門窗、鑰匙、窗簾、廣播系統、手拉螢幕、日光燈、電扇等由導師負責管理。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（二）專科教室(含美術教室、音樂教室、電腦教室、自然教室、活動中心等)場地設備，由場地負責單位（人）管理。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（三）各辦公室公物由各單位主管或承辦人管理；其他校園內公物(例遊戲設施等)由總務處管理。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</w:t>
      </w:r>
      <w:r w:rsidRPr="00E52985">
        <w:rPr>
          <w:rFonts w:hint="eastAsia"/>
        </w:rPr>
        <w:t xml:space="preserve"> </w:t>
      </w:r>
      <w:r w:rsidRPr="00E52985">
        <w:rPr>
          <w:rFonts w:ascii="標楷體" w:eastAsia="標楷體" w:hAnsi="標楷體" w:hint="eastAsia"/>
        </w:rPr>
        <w:t>本要點所稱「公物」</w:t>
      </w:r>
      <w:proofErr w:type="gramStart"/>
      <w:r w:rsidRPr="00E52985">
        <w:rPr>
          <w:rFonts w:ascii="標楷體" w:eastAsia="標楷體" w:hAnsi="標楷體" w:hint="eastAsia"/>
        </w:rPr>
        <w:t>係指凡本校</w:t>
      </w:r>
      <w:proofErr w:type="gramEnd"/>
      <w:r w:rsidRPr="00E52985">
        <w:rPr>
          <w:rFonts w:ascii="標楷體" w:eastAsia="標楷體" w:hAnsi="標楷體" w:hint="eastAsia"/>
        </w:rPr>
        <w:t>預算經費所購置或受贈之從事教學、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行政、各班教室設備及校園花木之各項財產、物品皆屬之。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三、處理權責：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（一）教室內公物遭破壞，上課時間由授課教師追查，其他時間由導師負責追查，學</w:t>
      </w:r>
      <w:proofErr w:type="gramStart"/>
      <w:r w:rsidRPr="00E52985">
        <w:rPr>
          <w:rFonts w:ascii="標楷體" w:eastAsia="標楷體" w:hAnsi="標楷體" w:hint="eastAsia"/>
        </w:rPr>
        <w:t>務</w:t>
      </w:r>
      <w:proofErr w:type="gramEnd"/>
      <w:r w:rsidRPr="00E52985">
        <w:rPr>
          <w:rFonts w:ascii="標楷體" w:eastAsia="標楷體" w:hAnsi="標楷體" w:hint="eastAsia"/>
        </w:rPr>
        <w:t>處協助辦理</w:t>
      </w:r>
      <w:r>
        <w:rPr>
          <w:rFonts w:ascii="標楷體" w:eastAsia="標楷體" w:hAnsi="標楷體" w:hint="eastAsia"/>
        </w:rPr>
        <w:t>，學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處協助處理，倘若追查不出破壞者，由班費賠償</w:t>
      </w:r>
      <w:r w:rsidRPr="00E52985">
        <w:rPr>
          <w:rFonts w:ascii="標楷體" w:eastAsia="標楷體" w:hAnsi="標楷體" w:hint="eastAsia"/>
        </w:rPr>
        <w:t>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（二）專科教室(</w:t>
      </w:r>
      <w:r>
        <w:rPr>
          <w:rFonts w:ascii="標楷體" w:eastAsia="標楷體" w:hAnsi="標楷體" w:hint="eastAsia"/>
        </w:rPr>
        <w:t>含美術教室、音樂教室、電腦教室、</w:t>
      </w:r>
      <w:r w:rsidRPr="00E52985">
        <w:rPr>
          <w:rFonts w:ascii="標楷體" w:eastAsia="標楷體" w:hAnsi="標楷體" w:hint="eastAsia"/>
        </w:rPr>
        <w:t>自然教室、活動中心等)等場地之公物遭破壞，上課時間由任課教師追查，其他時間由場地負責單位（人）追查。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（三）各辦公室公物遭破壞由各單位主管或承辦人追查。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（四）校園內公物遭破壞發生於學生上課期間者，由學</w:t>
      </w:r>
      <w:proofErr w:type="gramStart"/>
      <w:r w:rsidRPr="00E52985">
        <w:rPr>
          <w:rFonts w:ascii="標楷體" w:eastAsia="標楷體" w:hAnsi="標楷體" w:hint="eastAsia"/>
        </w:rPr>
        <w:t>務</w:t>
      </w:r>
      <w:proofErr w:type="gramEnd"/>
      <w:r w:rsidRPr="00E52985">
        <w:rPr>
          <w:rFonts w:ascii="標楷體" w:eastAsia="標楷體" w:hAnsi="標楷體" w:hint="eastAsia"/>
        </w:rPr>
        <w:t>處負責追查，發生於放學後則由總務處負責追查，並請全體教職員工協助之。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(五)因課程借用公物，未將公物歸還原處，造成公物損壞，</w:t>
      </w:r>
      <w:r w:rsidRPr="00E52985">
        <w:rPr>
          <w:rFonts w:ascii="標楷體" w:eastAsia="標楷體" w:hAnsi="標楷體" w:hint="eastAsia"/>
        </w:rPr>
        <w:t>由授課教師追查</w:t>
      </w:r>
      <w:r>
        <w:rPr>
          <w:rFonts w:ascii="標楷體" w:eastAsia="標楷體" w:hAnsi="標楷體" w:hint="eastAsia"/>
        </w:rPr>
        <w:t>。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 w:rsidRPr="00E52985">
        <w:rPr>
          <w:rFonts w:ascii="標楷體" w:eastAsia="標楷體" w:hAnsi="標楷體"/>
        </w:rPr>
        <w:t xml:space="preserve">、毀損賠償： 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/>
        </w:rPr>
        <w:t>（一）公物賠償以恢復原狀為原則，損壞者應自行設法修復、如不堪修復 者</w:t>
      </w:r>
      <w:proofErr w:type="gramStart"/>
      <w:r w:rsidRPr="00E52985">
        <w:rPr>
          <w:rFonts w:ascii="標楷體" w:eastAsia="標楷體" w:hAnsi="標楷體"/>
        </w:rPr>
        <w:t>購買同品</w:t>
      </w:r>
      <w:proofErr w:type="gramEnd"/>
      <w:r w:rsidRPr="00E52985">
        <w:rPr>
          <w:rFonts w:ascii="標楷體" w:eastAsia="標楷體" w:hAnsi="標楷體"/>
        </w:rPr>
        <w:t>，其一切修復重購費用，損壞者應全</w:t>
      </w:r>
      <w:proofErr w:type="gramStart"/>
      <w:r w:rsidRPr="00E52985">
        <w:rPr>
          <w:rFonts w:ascii="標楷體" w:eastAsia="標楷體" w:hAnsi="標楷體"/>
        </w:rPr>
        <w:t>責</w:t>
      </w:r>
      <w:proofErr w:type="gramEnd"/>
      <w:r w:rsidRPr="00E52985">
        <w:rPr>
          <w:rFonts w:ascii="標楷體" w:eastAsia="標楷體" w:hAnsi="標楷體"/>
        </w:rPr>
        <w:t xml:space="preserve">負擔。 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/>
        </w:rPr>
        <w:t xml:space="preserve">（二）學生於「上課」、「打掃」搬運公物，因疏忽行為致毀損者，得准予 減免賠償，惟須經導師或相關人員簽陳 校長裁示。 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/>
        </w:rPr>
        <w:t>（三）校內全員凡屬蓄意或無故毀損公物者除負擔賠償</w:t>
      </w:r>
      <w:proofErr w:type="gramStart"/>
      <w:r w:rsidRPr="00E52985">
        <w:rPr>
          <w:rFonts w:ascii="標楷體" w:eastAsia="標楷體" w:hAnsi="標楷體"/>
        </w:rPr>
        <w:t>之責外另</w:t>
      </w:r>
      <w:proofErr w:type="gramEnd"/>
      <w:r w:rsidRPr="00E52985">
        <w:rPr>
          <w:rFonts w:ascii="標楷體" w:eastAsia="標楷體" w:hAnsi="標楷體"/>
        </w:rPr>
        <w:t>予依</w:t>
      </w:r>
      <w:proofErr w:type="gramStart"/>
      <w:r w:rsidRPr="00E52985">
        <w:rPr>
          <w:rFonts w:ascii="標楷體" w:eastAsia="標楷體" w:hAnsi="標楷體"/>
        </w:rPr>
        <w:t>規</w:t>
      </w:r>
      <w:proofErr w:type="gramEnd"/>
      <w:r w:rsidRPr="00E52985">
        <w:rPr>
          <w:rFonts w:ascii="標楷體" w:eastAsia="標楷體" w:hAnsi="標楷體"/>
        </w:rPr>
        <w:t xml:space="preserve">議處。 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/>
        </w:rPr>
        <w:t>（四）學生</w:t>
      </w:r>
      <w:proofErr w:type="gramStart"/>
      <w:r w:rsidRPr="00E52985">
        <w:rPr>
          <w:rFonts w:ascii="標楷體" w:eastAsia="標楷體" w:hAnsi="標楷體"/>
        </w:rPr>
        <w:t>在校凡因</w:t>
      </w:r>
      <w:proofErr w:type="gramEnd"/>
      <w:r w:rsidRPr="00E52985">
        <w:rPr>
          <w:rFonts w:ascii="標楷體" w:eastAsia="標楷體" w:hAnsi="標楷體"/>
        </w:rPr>
        <w:t>遺失或毀損公物，</w:t>
      </w:r>
      <w:proofErr w:type="gramStart"/>
      <w:r w:rsidRPr="00E52985">
        <w:rPr>
          <w:rFonts w:ascii="標楷體" w:eastAsia="標楷體" w:hAnsi="標楷體"/>
        </w:rPr>
        <w:t>歸責須負</w:t>
      </w:r>
      <w:proofErr w:type="gramEnd"/>
      <w:r w:rsidRPr="00E52985">
        <w:rPr>
          <w:rFonts w:ascii="標楷體" w:eastAsia="標楷體" w:hAnsi="標楷體"/>
        </w:rPr>
        <w:t>賠償者，應由學</w:t>
      </w:r>
      <w:proofErr w:type="gramStart"/>
      <w:r w:rsidRPr="00E52985">
        <w:rPr>
          <w:rFonts w:ascii="標楷體" w:eastAsia="標楷體" w:hAnsi="標楷體"/>
        </w:rPr>
        <w:t>務</w:t>
      </w:r>
      <w:proofErr w:type="gramEnd"/>
      <w:r w:rsidRPr="00E52985">
        <w:rPr>
          <w:rFonts w:ascii="標楷體" w:eastAsia="標楷體" w:hAnsi="標楷體"/>
        </w:rPr>
        <w:t>處通知該生家長會同總務處共同協調處理。</w:t>
      </w:r>
    </w:p>
    <w:p w:rsid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E52985">
        <w:rPr>
          <w:rFonts w:ascii="標楷體" w:eastAsia="標楷體" w:hAnsi="標楷體" w:hint="eastAsia"/>
        </w:rPr>
        <w:t>、修繕暨賠償手續：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（一）自然損壞者依修繕流程處理；蓄意破壞公物之學生經追查(參閱處理權責)後</w:t>
      </w:r>
      <w:proofErr w:type="gramStart"/>
      <w:r w:rsidRPr="00E52985">
        <w:rPr>
          <w:rFonts w:ascii="標楷體" w:eastAsia="標楷體" w:hAnsi="標楷體" w:hint="eastAsia"/>
        </w:rPr>
        <w:t>逕</w:t>
      </w:r>
      <w:proofErr w:type="gramEnd"/>
      <w:r w:rsidRPr="00E52985">
        <w:rPr>
          <w:rFonts w:ascii="標楷體" w:eastAsia="標楷體" w:hAnsi="標楷體" w:hint="eastAsia"/>
        </w:rPr>
        <w:t>送學</w:t>
      </w:r>
      <w:proofErr w:type="gramStart"/>
      <w:r w:rsidRPr="00E52985">
        <w:rPr>
          <w:rFonts w:ascii="標楷體" w:eastAsia="標楷體" w:hAnsi="標楷體" w:hint="eastAsia"/>
        </w:rPr>
        <w:t>務</w:t>
      </w:r>
      <w:proofErr w:type="gramEnd"/>
      <w:r w:rsidRPr="00E52985">
        <w:rPr>
          <w:rFonts w:ascii="標楷體" w:eastAsia="標楷體" w:hAnsi="標楷體" w:hint="eastAsia"/>
        </w:rPr>
        <w:t>處，由學</w:t>
      </w:r>
      <w:proofErr w:type="gramStart"/>
      <w:r w:rsidRPr="00E52985">
        <w:rPr>
          <w:rFonts w:ascii="標楷體" w:eastAsia="標楷體" w:hAnsi="標楷體" w:hint="eastAsia"/>
        </w:rPr>
        <w:t>務</w:t>
      </w:r>
      <w:proofErr w:type="gramEnd"/>
      <w:r w:rsidRPr="00E52985">
        <w:rPr>
          <w:rFonts w:ascii="標楷體" w:eastAsia="標楷體" w:hAnsi="標楷體" w:hint="eastAsia"/>
        </w:rPr>
        <w:t>處查明、確認破壞動機、原因，懲處後至總務處辦理賠償手續。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（一）賠償流程：損壞者至總務處填寫公物管理暨損壞賠償情形報告表(附件一)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→ 經授課教師及導師審查意見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→ 教務處、學</w:t>
      </w:r>
      <w:proofErr w:type="gramStart"/>
      <w:r w:rsidRPr="00E52985">
        <w:rPr>
          <w:rFonts w:ascii="標楷體" w:eastAsia="標楷體" w:hAnsi="標楷體" w:hint="eastAsia"/>
        </w:rPr>
        <w:t>務</w:t>
      </w:r>
      <w:proofErr w:type="gramEnd"/>
      <w:r w:rsidRPr="00E52985">
        <w:rPr>
          <w:rFonts w:ascii="標楷體" w:eastAsia="標楷體" w:hAnsi="標楷體" w:hint="eastAsia"/>
        </w:rPr>
        <w:t>處簽核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→ 交至</w:t>
      </w:r>
      <w:r>
        <w:rPr>
          <w:rFonts w:ascii="標楷體" w:eastAsia="標楷體" w:hAnsi="標楷體" w:hint="eastAsia"/>
        </w:rPr>
        <w:t>庶務</w:t>
      </w:r>
      <w:proofErr w:type="gramStart"/>
      <w:r w:rsidRPr="00E52985">
        <w:rPr>
          <w:rFonts w:ascii="標楷體" w:eastAsia="標楷體" w:hAnsi="標楷體" w:hint="eastAsia"/>
        </w:rPr>
        <w:t>務組簽</w:t>
      </w:r>
      <w:proofErr w:type="gramEnd"/>
      <w:r w:rsidRPr="00E52985">
        <w:rPr>
          <w:rFonts w:ascii="標楷體" w:eastAsia="標楷體" w:hAnsi="標楷體" w:hint="eastAsia"/>
        </w:rPr>
        <w:t>核賠償金額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→ 採購或修繕 (總務主任簽核)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→ 交還事務組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→ 結案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lastRenderedPageBreak/>
        <w:t>（三）總務處依據公物賠償標準金額向學生收費，倘賠償學生在期限內（一星期）未至出納</w:t>
      </w:r>
      <w:proofErr w:type="gramStart"/>
      <w:r w:rsidRPr="00E52985">
        <w:rPr>
          <w:rFonts w:ascii="標楷體" w:eastAsia="標楷體" w:hAnsi="標楷體" w:hint="eastAsia"/>
        </w:rPr>
        <w:t>組繳齊賠償</w:t>
      </w:r>
      <w:proofErr w:type="gramEnd"/>
      <w:r w:rsidRPr="00E52985">
        <w:rPr>
          <w:rFonts w:ascii="標楷體" w:eastAsia="標楷體" w:hAnsi="標楷體" w:hint="eastAsia"/>
        </w:rPr>
        <w:t>金者，請導師與家長連</w:t>
      </w:r>
      <w:proofErr w:type="gramStart"/>
      <w:r w:rsidRPr="00E52985">
        <w:rPr>
          <w:rFonts w:ascii="標楷體" w:eastAsia="標楷體" w:hAnsi="標楷體" w:hint="eastAsia"/>
        </w:rPr>
        <w:t>繫</w:t>
      </w:r>
      <w:proofErr w:type="gramEnd"/>
      <w:r w:rsidRPr="00E52985">
        <w:rPr>
          <w:rFonts w:ascii="標楷體" w:eastAsia="標楷體" w:hAnsi="標楷體" w:hint="eastAsia"/>
        </w:rPr>
        <w:t>賠償事宜。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（四）賠償金之訂定</w:t>
      </w:r>
      <w:r>
        <w:rPr>
          <w:rFonts w:ascii="標楷體" w:eastAsia="標楷體" w:hAnsi="標楷體"/>
        </w:rPr>
        <w:br/>
        <w:t>1.</w:t>
      </w:r>
      <w:r w:rsidRPr="00E52985">
        <w:rPr>
          <w:rFonts w:ascii="標楷體" w:eastAsia="標楷體" w:hAnsi="標楷體" w:hint="eastAsia"/>
        </w:rPr>
        <w:t>由總務處依據公物購置或修繕價格並參照物價指數合理訂定之。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E52985">
        <w:rPr>
          <w:rFonts w:ascii="標楷體" w:eastAsia="標楷體" w:hAnsi="標楷體" w:hint="eastAsia"/>
        </w:rPr>
        <w:t>、賠償標準如下：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(</w:t>
      </w:r>
      <w:proofErr w:type="gramStart"/>
      <w:r w:rsidRPr="00E52985">
        <w:rPr>
          <w:rFonts w:ascii="標楷體" w:eastAsia="標楷體" w:hAnsi="標楷體" w:hint="eastAsia"/>
        </w:rPr>
        <w:t>一</w:t>
      </w:r>
      <w:proofErr w:type="gramEnd"/>
      <w:r w:rsidRPr="00E52985">
        <w:rPr>
          <w:rFonts w:ascii="標楷體" w:eastAsia="標楷體" w:hAnsi="標楷體" w:hint="eastAsia"/>
        </w:rPr>
        <w:t>)消耗品損壞：依單價全額賠償。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(二)成組之器材：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 xml:space="preserve"> 1、</w:t>
      </w:r>
      <w:proofErr w:type="gramStart"/>
      <w:r w:rsidRPr="00E52985">
        <w:rPr>
          <w:rFonts w:ascii="標楷體" w:eastAsia="標楷體" w:hAnsi="標楷體" w:hint="eastAsia"/>
        </w:rPr>
        <w:t>全壞者</w:t>
      </w:r>
      <w:proofErr w:type="gramEnd"/>
      <w:r w:rsidRPr="00E52985">
        <w:rPr>
          <w:rFonts w:ascii="標楷體" w:eastAsia="標楷體" w:hAnsi="標楷體" w:hint="eastAsia"/>
        </w:rPr>
        <w:t>：依單價全額賠償。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 xml:space="preserve"> 2、部分零件損壞者：學校請廠商進行修繕，由損壞人賠償修繕費用。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 w:rsidRPr="00E52985">
        <w:rPr>
          <w:rFonts w:ascii="標楷體" w:eastAsia="標楷體" w:hAnsi="標楷體" w:hint="eastAsia"/>
        </w:rPr>
        <w:t>(三)其他物品 (如燈泡</w:t>
      </w:r>
      <w:proofErr w:type="gramStart"/>
      <w:r w:rsidRPr="00E52985">
        <w:rPr>
          <w:rFonts w:ascii="標楷體" w:eastAsia="標楷體" w:hAnsi="標楷體" w:hint="eastAsia"/>
        </w:rPr>
        <w:t>座等</w:t>
      </w:r>
      <w:proofErr w:type="gramEnd"/>
      <w:r w:rsidRPr="00E52985">
        <w:rPr>
          <w:rFonts w:ascii="標楷體" w:eastAsia="標楷體" w:hAnsi="標楷體" w:hint="eastAsia"/>
        </w:rPr>
        <w:t>) 損壞者: 學校請廠商進行修繕，由損壞人賠償修繕費用。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E52985">
        <w:rPr>
          <w:rFonts w:ascii="標楷體" w:eastAsia="標楷體" w:hAnsi="標楷體" w:hint="eastAsia"/>
        </w:rPr>
        <w:t>、懲處辦法：蓄意破壞公物之行為屬於違反校規，除賠償外由學</w:t>
      </w:r>
      <w:proofErr w:type="gramStart"/>
      <w:r w:rsidRPr="00E52985">
        <w:rPr>
          <w:rFonts w:ascii="標楷體" w:eastAsia="標楷體" w:hAnsi="標楷體" w:hint="eastAsia"/>
        </w:rPr>
        <w:t>務</w:t>
      </w:r>
      <w:proofErr w:type="gramEnd"/>
      <w:r w:rsidRPr="00E52985">
        <w:rPr>
          <w:rFonts w:ascii="標楷體" w:eastAsia="標楷體" w:hAnsi="標楷體" w:hint="eastAsia"/>
        </w:rPr>
        <w:t>處依據校規懲處之。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E52985">
        <w:rPr>
          <w:rFonts w:ascii="標楷體" w:eastAsia="標楷體" w:hAnsi="標楷體" w:hint="eastAsia"/>
        </w:rPr>
        <w:t>、宣導：本辦法請訓導處與導師協助宣導，以防止學生破壞公物，達到教育學生愛惜公物與節省公</w:t>
      </w:r>
      <w:proofErr w:type="gramStart"/>
      <w:r w:rsidRPr="00E52985">
        <w:rPr>
          <w:rFonts w:ascii="標楷體" w:eastAsia="標楷體" w:hAnsi="標楷體" w:hint="eastAsia"/>
        </w:rPr>
        <w:t>帑</w:t>
      </w:r>
      <w:proofErr w:type="gramEnd"/>
      <w:r w:rsidRPr="00E52985">
        <w:rPr>
          <w:rFonts w:ascii="標楷體" w:eastAsia="標楷體" w:hAnsi="標楷體" w:hint="eastAsia"/>
        </w:rPr>
        <w:t>之目標。</w:t>
      </w:r>
    </w:p>
    <w:p w:rsidR="00E52985" w:rsidRPr="00E52985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E52985">
        <w:rPr>
          <w:rFonts w:ascii="標楷體" w:eastAsia="標楷體" w:hAnsi="標楷體" w:hint="eastAsia"/>
        </w:rPr>
        <w:t>、本辦法有未盡之事宜，得隨時修正之。</w:t>
      </w:r>
    </w:p>
    <w:p w:rsidR="007E6263" w:rsidRDefault="00E52985" w:rsidP="00E5298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E52985">
        <w:rPr>
          <w:rFonts w:ascii="標楷體" w:eastAsia="標楷體" w:hAnsi="標楷體" w:hint="eastAsia"/>
        </w:rPr>
        <w:t>、本辦法經校長核定後實施，修正時亦同。</w:t>
      </w: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p w:rsidR="00715C3E" w:rsidRDefault="00715C3E" w:rsidP="00E52985">
      <w:pPr>
        <w:ind w:left="566" w:hangingChars="236" w:hanging="566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6"/>
      </w:tblGrid>
      <w:tr w:rsidR="00715C3E" w:rsidTr="00715C3E">
        <w:tc>
          <w:tcPr>
            <w:tcW w:w="8522" w:type="dxa"/>
          </w:tcPr>
          <w:p w:rsidR="00715C3E" w:rsidRPr="00715C3E" w:rsidRDefault="00715C3E" w:rsidP="00AC3501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5C3E">
              <w:rPr>
                <w:rFonts w:ascii="標楷體" w:eastAsia="標楷體" w:hAnsi="標楷體" w:hint="eastAsia"/>
                <w:b/>
                <w:spacing w:val="1"/>
                <w:sz w:val="32"/>
              </w:rPr>
              <w:lastRenderedPageBreak/>
              <w:t>未來學校財團法人</w:t>
            </w:r>
            <w:proofErr w:type="gramStart"/>
            <w:r w:rsidRPr="00715C3E">
              <w:rPr>
                <w:rFonts w:ascii="標楷體" w:eastAsia="標楷體" w:hAnsi="標楷體" w:hint="eastAsia"/>
                <w:b/>
                <w:spacing w:val="1"/>
                <w:sz w:val="32"/>
              </w:rPr>
              <w:t>臺東縣育仁</w:t>
            </w:r>
            <w:proofErr w:type="gramEnd"/>
            <w:r w:rsidRPr="00715C3E">
              <w:rPr>
                <w:rFonts w:ascii="標楷體" w:eastAsia="標楷體" w:hAnsi="標楷體" w:hint="eastAsia"/>
                <w:b/>
                <w:spacing w:val="1"/>
                <w:sz w:val="32"/>
              </w:rPr>
              <w:t>高級中等學校公物損壞賠償流程圖</w:t>
            </w:r>
          </w:p>
        </w:tc>
      </w:tr>
      <w:tr w:rsidR="00715C3E" w:rsidTr="00715C3E">
        <w:tc>
          <w:tcPr>
            <w:tcW w:w="8522" w:type="dxa"/>
          </w:tcPr>
          <w:p w:rsidR="00715C3E" w:rsidRDefault="00715C3E" w:rsidP="00AC3501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DECBEC" wp14:editId="2541F35A">
                  <wp:extent cx="5916261" cy="8282763"/>
                  <wp:effectExtent l="0" t="0" r="889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43998" t="16666" r="30061" b="8912"/>
                          <a:stretch/>
                        </pic:blipFill>
                        <pic:spPr bwMode="auto">
                          <a:xfrm>
                            <a:off x="0" y="0"/>
                            <a:ext cx="5925060" cy="8295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C3E" w:rsidRDefault="00715C3E" w:rsidP="00715C3E">
      <w:pPr>
        <w:jc w:val="center"/>
        <w:rPr>
          <w:spacing w:val="1"/>
          <w:sz w:val="36"/>
        </w:rPr>
      </w:pPr>
    </w:p>
    <w:p w:rsidR="00715C3E" w:rsidRDefault="00715C3E" w:rsidP="00715C3E">
      <w:pPr>
        <w:jc w:val="center"/>
        <w:rPr>
          <w:spacing w:val="1"/>
          <w:sz w:val="36"/>
        </w:rPr>
      </w:pPr>
    </w:p>
    <w:sectPr w:rsidR="00715C3E" w:rsidSect="00715C3E">
      <w:pgSz w:w="11906" w:h="16838"/>
      <w:pgMar w:top="426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20" w:rsidRDefault="00606D20" w:rsidP="00715C3E">
      <w:r>
        <w:separator/>
      </w:r>
    </w:p>
  </w:endnote>
  <w:endnote w:type="continuationSeparator" w:id="0">
    <w:p w:rsidR="00606D20" w:rsidRDefault="00606D20" w:rsidP="0071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20" w:rsidRDefault="00606D20" w:rsidP="00715C3E">
      <w:r>
        <w:separator/>
      </w:r>
    </w:p>
  </w:footnote>
  <w:footnote w:type="continuationSeparator" w:id="0">
    <w:p w:rsidR="00606D20" w:rsidRDefault="00606D20" w:rsidP="0071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A5"/>
    <w:rsid w:val="00440FA5"/>
    <w:rsid w:val="0049709A"/>
    <w:rsid w:val="0059003B"/>
    <w:rsid w:val="00606D20"/>
    <w:rsid w:val="00715C3E"/>
    <w:rsid w:val="007E6263"/>
    <w:rsid w:val="009D1932"/>
    <w:rsid w:val="00BB4C2F"/>
    <w:rsid w:val="00E5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C3E"/>
    <w:rPr>
      <w:sz w:val="20"/>
      <w:szCs w:val="20"/>
    </w:rPr>
  </w:style>
  <w:style w:type="table" w:styleId="a7">
    <w:name w:val="Table Grid"/>
    <w:basedOn w:val="a1"/>
    <w:rsid w:val="00715C3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5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5C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C3E"/>
    <w:rPr>
      <w:sz w:val="20"/>
      <w:szCs w:val="20"/>
    </w:rPr>
  </w:style>
  <w:style w:type="table" w:styleId="a7">
    <w:name w:val="Table Grid"/>
    <w:basedOn w:val="a1"/>
    <w:rsid w:val="00715C3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5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5C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2025-07-01T07:57:00Z</cp:lastPrinted>
  <dcterms:created xsi:type="dcterms:W3CDTF">2025-06-30T02:10:00Z</dcterms:created>
  <dcterms:modified xsi:type="dcterms:W3CDTF">2025-08-04T06:09:00Z</dcterms:modified>
</cp:coreProperties>
</file>